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141"/>
                <w:spacing w:val="510"/>
              </w:rPr>
              <w:t>御供</w:t>
            </w: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1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kurojir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141"/>
                <w:spacing w:val="510"/>
              </w:rPr>
              <w:t>御供</w:t>
            </w: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2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kijir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141"/>
                <w:spacing w:val="510"/>
              </w:rPr>
              <w:t>御供</w:t>
            </w: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3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sougi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124"/>
                <w:spacing w:val="227"/>
              </w:rPr>
              <w:t>御仏前</w:t>
            </w: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4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kurojir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170"/>
              </w:rPr>
              <w:t>志</w:t>
            </w: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5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kurojir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170"/>
              </w:rPr>
              <w:t>志</w:t>
            </w: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6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kijir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104"/>
                <w:spacing w:val="79"/>
              </w:rPr>
              <w:t>満中陰志</w:t>
            </w: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7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kijir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124"/>
                <w:spacing w:val="227"/>
              </w:rPr>
              <w:t>粗供養</w:t>
            </w: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8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kijir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9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kurojir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4649" w:hRule="exact"/>
        </w:trPr>
        <w:tc>
          <w:tcPr>
            <w:tcW w:type="dxa" w:w="9638"/>
            <w:textDirection w:val="tbRlV"/>
            <w:vAlign w:val="center"/>
          </w:tcPr>
          <w:p>
            <w:pPr>
              <w:jc w:val="center"/>
            </w:pPr>
          </w:p>
        </w:tc>
      </w:tr>
      <w:tr>
        <w:trPr>
          <w:trHeight w:val="2948" w:hRule="exact"/>
        </w:trPr>
        <w:tc>
          <w:tcPr>
            <w:tcW w:type="dxa" w:w="9638"/>
          </w:tcPr>
          <w:p>
            <w:r>
              <w:drawing>
                <wp:anchor xmlns:a="http://schemas.openxmlformats.org/drawingml/2006/main" xmlns:pic="http://schemas.openxmlformats.org/drawingml/2006/picture" distT="0" distB="0" distL="0" distR="0" simplePos="0" relativeHeight="10" behindDoc="1" locked="1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3744000</wp:posOffset>
                  </wp:positionV>
                  <wp:extent cx="7560000" cy="1944000"/>
                  <wp:effectExtent l="0" t="0" r="0" b="0"/>
                  <wp:wrapNone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zuhiki-kijir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944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819" w:hRule="exact"/>
        </w:trPr>
        <w:tc>
          <w:tcPr>
            <w:tcW w:type="dxa" w:w="9638"/>
            <w:textDirection w:val="tbRlV"/>
            <w:vAlign w:val="center"/>
          </w:tcPr>
          <w:p>
            <w:pPr>
              <w:spacing w:before="0"/>
              <w:jc w:val="left"/>
            </w:pPr>
            <w:r>
              <w:rPr>
                <w:rFonts w:ascii="HG正楷書体-PRO" w:hAnsi="HG正楷書体-PRO" w:eastAsia="HG正楷書体-PRO"/>
                <w:b w:val="0"/>
                <w:color w:val="2B2B2B"/>
                <w:sz w:val="60"/>
                <w:spacing w:val="85"/>
              </w:rPr>
              <w:t>〇〇　〇〇</w:t>
            </w:r>
          </w:p>
        </w:tc>
      </w:tr>
    </w:tbl>
    <w:p>
      <w:pPr>
        <w:sectPr>
          <w:pgSz w:w="11906" w:h="16838"/>
          <w:pgMar w:top="1474" w:right="1134" w:bottom="567" w:left="1134" w:header="454" w:footer="454" w:gutter="0"/>
          <w:cols w:space="720"/>
          <w:docGrid w:linePitch="360"/>
        </w:sectPr>
      </w:pP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32"/>
        </w:rPr>
        <w:t>のし紙（掛け紙）テンプレート Word版の使い方</w:t>
      </w:r>
    </w:p>
    <w:p>
      <w:pPr>
        <w:spacing w:after="160" w:before="0" w:lineRule="exact" w:line="280"/>
      </w:pPr>
      <w:r>
        <w:rPr>
          <w:rFonts w:ascii="Yu Gothic" w:hAnsi="Yu Gothic" w:eastAsia="Yu Gothic"/>
          <w:b w:val="0"/>
          <w:color w:val="6B6B6B"/>
          <w:sz w:val="18"/>
        </w:rPr>
        <w:t>お供え・香典返し・法事の引き物用（お祝い用は入っていません）｜ふれあいの丘｜2026年10月版</w:t>
      </w:r>
    </w:p>
    <w:p>
      <w:pPr>
        <w:spacing w:after="40" w:before="0" w:lineRule="exact" w:line="372"/>
      </w:pPr>
      <w:r>
        <w:rPr>
          <w:rFonts w:ascii="Yu Gothic" w:hAnsi="Yu Gothic" w:eastAsia="Yu Gothic"/>
          <w:b/>
          <w:color w:val="2B4C3C"/>
          <w:sz w:val="24"/>
        </w:rPr>
        <w:t>入っている掛け紙（1〜10ページ・水引はどれも結び切り）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1ページ　</w:t>
      </w:r>
      <w:r>
        <w:rPr>
          <w:rFonts w:ascii="Yu Gothic" w:hAnsi="Yu Gothic" w:eastAsia="Yu Gothic"/>
          <w:b w:val="0"/>
          <w:color w:val="222222"/>
          <w:sz w:val="19"/>
        </w:rPr>
        <w:t>御供｜黒白｜お供え（葬儀・法要）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2ページ　</w:t>
      </w:r>
      <w:r>
        <w:rPr>
          <w:rFonts w:ascii="Yu Gothic" w:hAnsi="Yu Gothic" w:eastAsia="Yu Gothic"/>
          <w:b w:val="0"/>
          <w:color w:val="222222"/>
          <w:sz w:val="19"/>
        </w:rPr>
        <w:t>御供｜黄白｜お供え（法要・西日本など）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3ページ　</w:t>
      </w:r>
      <w:r>
        <w:rPr>
          <w:rFonts w:ascii="Yu Gothic" w:hAnsi="Yu Gothic" w:eastAsia="Yu Gothic"/>
          <w:b w:val="0"/>
          <w:color w:val="222222"/>
          <w:sz w:val="19"/>
        </w:rPr>
        <w:t>御供｜双銀｜葬儀のお供え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4ページ　</w:t>
      </w:r>
      <w:r>
        <w:rPr>
          <w:rFonts w:ascii="Yu Gothic" w:hAnsi="Yu Gothic" w:eastAsia="Yu Gothic"/>
          <w:b w:val="0"/>
          <w:color w:val="222222"/>
          <w:sz w:val="19"/>
        </w:rPr>
        <w:t>御仏前｜黒白｜四十九日後・年忌法要のお供え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5ページ　</w:t>
      </w:r>
      <w:r>
        <w:rPr>
          <w:rFonts w:ascii="Yu Gothic" w:hAnsi="Yu Gothic" w:eastAsia="Yu Gothic"/>
          <w:b w:val="0"/>
          <w:color w:val="222222"/>
          <w:sz w:val="19"/>
        </w:rPr>
        <w:t>志｜黒白｜香典返し・法事の引き物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6ページ　</w:t>
      </w:r>
      <w:r>
        <w:rPr>
          <w:rFonts w:ascii="Yu Gothic" w:hAnsi="Yu Gothic" w:eastAsia="Yu Gothic"/>
          <w:b w:val="0"/>
          <w:color w:val="222222"/>
          <w:sz w:val="19"/>
        </w:rPr>
        <w:t>志｜黄白｜法事の引き物（西日本など）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7ページ　</w:t>
      </w:r>
      <w:r>
        <w:rPr>
          <w:rFonts w:ascii="Yu Gothic" w:hAnsi="Yu Gothic" w:eastAsia="Yu Gothic"/>
          <w:b w:val="0"/>
          <w:color w:val="222222"/>
          <w:sz w:val="19"/>
        </w:rPr>
        <w:t>満中陰志｜黄白｜香典返し（関西地方など）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8ページ　</w:t>
      </w:r>
      <w:r>
        <w:rPr>
          <w:rFonts w:ascii="Yu Gothic" w:hAnsi="Yu Gothic" w:eastAsia="Yu Gothic"/>
          <w:b w:val="0"/>
          <w:color w:val="222222"/>
          <w:sz w:val="19"/>
        </w:rPr>
        <w:t>粗供養｜黄白｜法事の引き物・会葬御礼（西日本に多い）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9ページ　</w:t>
      </w:r>
      <w:r>
        <w:rPr>
          <w:rFonts w:ascii="Yu Gothic" w:hAnsi="Yu Gothic" w:eastAsia="Yu Gothic"/>
          <w:b w:val="0"/>
          <w:color w:val="222222"/>
          <w:sz w:val="19"/>
        </w:rPr>
        <w:t>（無地）｜黒白｜表書きを手書きする（無地）</w:t>
      </w:r>
    </w:p>
    <w:p>
      <w:pPr>
        <w:spacing w:after="0" w:before="0" w:lineRule="exact" w:line="310"/>
      </w:pPr>
      <w:r>
        <w:rPr>
          <w:rFonts w:ascii="Yu Gothic" w:hAnsi="Yu Gothic" w:eastAsia="Yu Gothic"/>
          <w:b/>
          <w:color w:val="2B4C3C"/>
          <w:sz w:val="19"/>
        </w:rPr>
        <w:t xml:space="preserve">10ページ　</w:t>
      </w:r>
      <w:r>
        <w:rPr>
          <w:rFonts w:ascii="Yu Gothic" w:hAnsi="Yu Gothic" w:eastAsia="Yu Gothic"/>
          <w:b w:val="0"/>
          <w:color w:val="222222"/>
          <w:sz w:val="19"/>
        </w:rPr>
        <w:t>（無地）｜黄白｜表書きを手書きする（無地）</w:t>
      </w:r>
    </w:p>
    <w:p>
      <w:pPr>
        <w:spacing w:after="40" w:before="160" w:lineRule="exact" w:line="372"/>
      </w:pPr>
      <w:r>
        <w:rPr>
          <w:rFonts w:ascii="Yu Gothic" w:hAnsi="Yu Gothic" w:eastAsia="Yu Gothic"/>
          <w:b/>
          <w:color w:val="2B4C3C"/>
          <w:sz w:val="24"/>
        </w:rPr>
        <w:t>使い方</w:t>
      </w:r>
    </w:p>
    <w:p>
      <w:pPr>
        <w:spacing w:after="40" w:before="0" w:lineRule="exact" w:line="294"/>
      </w:pPr>
      <w:r>
        <w:rPr>
          <w:rFonts w:ascii="Yu Gothic" w:hAnsi="Yu Gothic" w:eastAsia="Yu Gothic"/>
          <w:b w:val="0"/>
          <w:color w:val="222222"/>
          <w:sz w:val="19"/>
        </w:rPr>
        <w:t>1　使うページを開き、表書き（水引の上の文字）をクリックして書き換えます。無地のページは表書きのマスに入力します。</w:t>
      </w:r>
    </w:p>
    <w:p>
      <w:pPr>
        <w:spacing w:after="40" w:before="0" w:lineRule="exact" w:line="294"/>
      </w:pPr>
      <w:r>
        <w:rPr>
          <w:rFonts w:ascii="Yu Gothic" w:hAnsi="Yu Gothic" w:eastAsia="Yu Gothic"/>
          <w:b w:val="0"/>
          <w:color w:val="222222"/>
          <w:sz w:val="19"/>
        </w:rPr>
        <w:t>2　名前の「〇〇　〇〇」を書き換えます。手書きにするときは、〇〇を消してから印刷してください。</w:t>
      </w:r>
    </w:p>
    <w:p>
      <w:pPr>
        <w:spacing w:after="40" w:before="0" w:lineRule="exact" w:line="294"/>
      </w:pPr>
      <w:r>
        <w:rPr>
          <w:rFonts w:ascii="Yu Gothic" w:hAnsi="Yu Gothic" w:eastAsia="Yu Gothic"/>
          <w:b w:val="0"/>
          <w:color w:val="222222"/>
          <w:sz w:val="19"/>
        </w:rPr>
        <w:t>3　印刷するときは、使うページだけを指定して A4 の白い紙に印刷します。水引の絵は文字の背面に置いてあります。</w:t>
      </w:r>
    </w:p>
    <w:p>
      <w:pPr>
        <w:spacing w:after="40" w:before="0" w:lineRule="exact" w:line="294"/>
      </w:pPr>
      <w:r>
        <w:rPr>
          <w:rFonts w:ascii="Yu Gothic" w:hAnsi="Yu Gothic" w:eastAsia="Yu Gothic"/>
          <w:b w:val="0"/>
          <w:color w:val="222222"/>
          <w:sz w:val="19"/>
        </w:rPr>
        <w:t>4　表書きの書体は「HG正楷書体-PRO」です。お使いのパソコンに無いときは、游明朝などに変えてください。</w:t>
      </w:r>
    </w:p>
    <w:p>
      <w:pPr>
        <w:spacing w:after="40" w:before="0" w:lineRule="exact" w:line="294"/>
      </w:pPr>
      <w:r>
        <w:rPr>
          <w:rFonts w:ascii="Yu Gothic" w:hAnsi="Yu Gothic" w:eastAsia="Yu Gothic"/>
          <w:b w:val="0"/>
          <w:color w:val="222222"/>
          <w:sz w:val="19"/>
        </w:rPr>
        <w:t>5　文字の大きさを変えると、マスに収まらず一部が隠れることがあります。そのときは文字を小さくしてください。</w:t>
      </w:r>
    </w:p>
    <w:p>
      <w:pPr>
        <w:spacing w:after="40" w:before="160" w:lineRule="exact" w:line="372"/>
      </w:pPr>
      <w:r>
        <w:rPr>
          <w:rFonts w:ascii="Yu Gothic" w:hAnsi="Yu Gothic" w:eastAsia="Yu Gothic"/>
          <w:b/>
          <w:color w:val="2B4C3C"/>
          <w:sz w:val="24"/>
        </w:rPr>
        <w:t>名前の書き方（出典によって説明が違います）</w:t>
      </w:r>
    </w:p>
    <w:p>
      <w:pPr>
        <w:spacing w:after="20" w:before="0" w:lineRule="exact" w:line="280"/>
      </w:pPr>
      <w:r>
        <w:rPr>
          <w:rFonts w:ascii="Yu Gothic" w:hAnsi="Yu Gothic" w:eastAsia="Yu Gothic"/>
          <w:b w:val="0"/>
          <w:color w:val="222222"/>
          <w:sz w:val="18"/>
        </w:rPr>
        <w:t>・お供え（贈る側）…全葬連は水引の下にフルネームと説明しています。贈り物一般については、三越伊勢丹は下段中央に贈り主のフルネーム、高島屋は下段にやや小さめに氏名としています。</w:t>
      </w:r>
    </w:p>
    <w:p>
      <w:pPr>
        <w:spacing w:after="20" w:before="0" w:lineRule="exact" w:line="280"/>
      </w:pPr>
      <w:r>
        <w:rPr>
          <w:rFonts w:ascii="Yu Gothic" w:hAnsi="Yu Gothic" w:eastAsia="Yu Gothic"/>
          <w:b w:val="0"/>
          <w:color w:val="222222"/>
          <w:sz w:val="18"/>
        </w:rPr>
        <w:t>・香典返し・引き物（喪主側）…高島屋は姓のみ（香典返しは喪主の姓のみ）、三越伊勢丹は喪主の姓または「〇〇家」、全互協は下のほうに喪主の名前、と説明しています。</w:t>
      </w:r>
    </w:p>
    <w:p>
      <w:pPr>
        <w:spacing w:after="20" w:before="0" w:lineRule="exact" w:line="280"/>
      </w:pPr>
      <w:r>
        <w:rPr>
          <w:rFonts w:ascii="Yu Gothic" w:hAnsi="Yu Gothic" w:eastAsia="Yu Gothic"/>
          <w:b w:val="0"/>
          <w:color w:val="222222"/>
          <w:sz w:val="18"/>
        </w:rPr>
        <w:t>・連名…高島屋は目上の人から右から左へ3名程度まで、三越伊勢丹は4名以上なら代表者の左に小さく「外一同」と説明しています。</w:t>
      </w:r>
    </w:p>
    <w:p>
      <w:pPr>
        <w:spacing w:after="20" w:before="0" w:lineRule="exact" w:line="280"/>
      </w:pPr>
      <w:r>
        <w:rPr>
          <w:rFonts w:ascii="Yu Gothic" w:hAnsi="Yu Gothic" w:eastAsia="Yu Gothic"/>
          <w:b w:val="0"/>
          <w:color w:val="222222"/>
          <w:sz w:val="18"/>
        </w:rPr>
        <w:t>・高島屋・三越伊勢丹は、弔事の文字は薄墨で書くと説明しています。</w:t>
      </w:r>
    </w:p>
    <w:p>
      <w:pPr>
        <w:spacing w:after="40" w:before="160" w:lineRule="exact" w:line="372"/>
      </w:pPr>
      <w:r>
        <w:rPr>
          <w:rFonts w:ascii="Yu Gothic" w:hAnsi="Yu Gothic" w:eastAsia="Yu Gothic"/>
          <w:b/>
          <w:color w:val="2B4C3C"/>
          <w:sz w:val="24"/>
        </w:rPr>
        <w:t>地域・宗教で違うところ</w:t>
      </w:r>
    </w:p>
    <w:p>
      <w:pPr>
        <w:spacing w:after="20" w:before="0" w:lineRule="exact" w:line="280"/>
      </w:pPr>
      <w:r>
        <w:rPr>
          <w:rFonts w:ascii="Yu Gothic" w:hAnsi="Yu Gothic" w:eastAsia="Yu Gothic"/>
          <w:b w:val="0"/>
          <w:color w:val="222222"/>
          <w:sz w:val="18"/>
        </w:rPr>
        <w:t>・弔事の掛け紙には「のし」の飾りを付けません（高島屋・三越伊勢丹）。水引は濃い色が向かって右です（高島屋）。</w:t>
      </w:r>
    </w:p>
    <w:p>
      <w:pPr>
        <w:spacing w:after="20" w:before="0" w:lineRule="exact" w:line="280"/>
      </w:pPr>
      <w:r>
        <w:rPr>
          <w:rFonts w:ascii="Yu Gothic" w:hAnsi="Yu Gothic" w:eastAsia="Yu Gothic"/>
          <w:b w:val="0"/>
          <w:color w:val="222222"/>
          <w:sz w:val="18"/>
        </w:rPr>
        <w:t>・水引の色は地域で違い、高島屋は仏式のお供えを東日本は黒白、西日本は黄白（葬儀のお供えは双銀も）とし、山陰地方の掛紙は黒白としています。</w:t>
      </w:r>
    </w:p>
    <w:p>
      <w:pPr>
        <w:spacing w:after="20" w:before="0" w:lineRule="exact" w:line="280"/>
      </w:pPr>
      <w:r>
        <w:rPr>
          <w:rFonts w:ascii="Yu Gothic" w:hAnsi="Yu Gothic" w:eastAsia="Yu Gothic"/>
          <w:b w:val="0"/>
          <w:color w:val="222222"/>
          <w:sz w:val="18"/>
        </w:rPr>
        <w:t>・真宗大谷派・浄土真宗本願寺派は「御霊前」を使わないと説明しています。このテンプレートに「御霊前」の掛け紙は入れていません。</w:t>
      </w:r>
    </w:p>
    <w:p>
      <w:pPr>
        <w:spacing w:after="20" w:before="0" w:lineRule="exact" w:line="280"/>
      </w:pPr>
      <w:r>
        <w:rPr>
          <w:rFonts w:ascii="Yu Gothic" w:hAnsi="Yu Gothic" w:eastAsia="Yu Gothic"/>
          <w:b w:val="0"/>
          <w:color w:val="222222"/>
          <w:sz w:val="18"/>
        </w:rPr>
        <w:t>・神式・キリスト教の表書きや水引の色は出典で説明が違います。無地のページに入力して使い、迷ったら葬儀社や親族に確認してください。</w:t>
      </w:r>
    </w:p>
    <w:p>
      <w:pPr>
        <w:spacing w:after="60" w:before="160" w:lineRule="exact" w:line="248"/>
      </w:pPr>
      <w:r>
        <w:rPr>
          <w:rFonts w:ascii="Yu Gothic" w:hAnsi="Yu Gothic" w:eastAsia="Yu Gothic"/>
          <w:b w:val="0"/>
          <w:color w:val="6B6B6B"/>
          <w:sz w:val="16"/>
        </w:rPr>
        <w:t>出典：高島屋「タカシマヤのご贈答マナー」、三越伊勢丹「のし紙とかけ紙の正しいマナー」ほか、全葬連「香典袋とは」、全互協「香典返しは？」「法事（法要）に出席するときは？」、大阪葬祭事業協同組合「水引きの表書き」、郵便局のネットショップ（日本郵便株式会社運営）のコラム、真宗大谷派「葬儀・法事・お墓のこと」、浄土真宗本願寺派「よくあるご質問」（いずれも2026年10月17日確認）。URLは配布ページ www.fureaino-oka.com/sogi/noshi-template に掲載しています。掛け紙の書き方を定めた法令や公的なルールはなく、ここに挙げたのは出典で説明されている目安です。</w:t>
      </w:r>
    </w:p>
    <w:p>
      <w:pPr>
        <w:spacing w:after="60" w:before="80" w:lineRule="exact" w:line="248"/>
      </w:pPr>
      <w:r>
        <w:rPr>
          <w:rFonts w:ascii="Yu Gothic" w:hAnsi="Yu Gothic" w:eastAsia="Yu Gothic"/>
          <w:b w:val="0"/>
          <w:color w:val="6B6B6B"/>
          <w:sz w:val="16"/>
        </w:rPr>
        <w:t>発行：生前整理支援センター ふれあいの丘（株式会社Kogera）。水引の絵は当サイトが描いた図案で、実物の結び方を再現したものではありません。個人利用の範囲で自由に印刷・複製・編集いただけます。</w:t>
      </w:r>
    </w:p>
    <w:sectPr w:rsidR="00FC693F" w:rsidRPr="0006063C" w:rsidSect="00034616">
      <w:pgSz w:w="11906" w:h="16838"/>
      <w:pgMar w:top="794" w:right="1134" w:bottom="79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のし紙（掛け紙）テンプレート（弔事・法事用）</dc:title>
  <dc:subject>お供え・香典返し・法事の引き物用の掛け紙（A4）</dc:subject>
  <dc:creator>生前整理支援センター ふれあいの丘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